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/>
        <w:autoSpaceDN/>
        <w:snapToGrid/>
        <w:spacing w:line="240" w:lineRule="auto"/>
        <w:ind w:firstLine="0"/>
        <w:rPr>
          <w:rFonts w:ascii="黑体" w:eastAsia="黑体" w:cs="宋体"/>
          <w:snapToGrid/>
          <w:color w:val="333333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textAlignment w:val="auto"/>
        <w:rPr>
          <w:rFonts w:hint="eastAsia" w:ascii="方正小标宋_GBK" w:eastAsia="方正小标宋_GBK" w:cs="宋体"/>
          <w:b/>
          <w:bCs/>
          <w:snapToGrid/>
          <w:color w:val="33333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textAlignment w:val="auto"/>
        <w:rPr>
          <w:rFonts w:hint="eastAsia" w:ascii="方正小标宋_GBK" w:eastAsia="方正小标宋_GBK" w:cs="宋体"/>
          <w:b/>
          <w:bCs/>
          <w:snapToGrid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宋体"/>
          <w:b/>
          <w:bCs/>
          <w:snapToGrid/>
          <w:color w:val="333333"/>
          <w:sz w:val="44"/>
          <w:szCs w:val="44"/>
          <w:lang w:val="en-US" w:eastAsia="zh-CN"/>
        </w:rPr>
        <w:t>新疆生产建设兵团住房和城乡建设局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textAlignment w:val="auto"/>
        <w:rPr>
          <w:rFonts w:hint="default" w:ascii="方正小标宋_GBK" w:eastAsia="方正小标宋_GBK" w:cs="宋体"/>
          <w:snapToGrid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宋体"/>
          <w:b/>
          <w:bCs/>
          <w:snapToGrid/>
          <w:color w:val="333333"/>
          <w:sz w:val="44"/>
          <w:szCs w:val="44"/>
          <w:lang w:val="en-US" w:eastAsia="zh-CN"/>
        </w:rPr>
        <w:t>政府信息公开工作2021年度报告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宋体" w:eastAsia="宋体" w:cs="宋体"/>
          <w:snapToGrid/>
          <w:color w:val="333333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eastAsia="黑体" w:cs="宋体"/>
          <w:snapToGrid/>
          <w:color w:val="333333"/>
          <w:szCs w:val="32"/>
        </w:rPr>
      </w:pPr>
      <w:r>
        <w:rPr>
          <w:rFonts w:hint="eastAsia" w:ascii="黑体" w:eastAsia="黑体" w:cs="宋体"/>
          <w:b/>
          <w:bCs/>
          <w:snapToGrid/>
          <w:color w:val="333333"/>
          <w:szCs w:val="32"/>
        </w:rPr>
        <w:t>一、总体情况</w:t>
      </w:r>
    </w:p>
    <w:p>
      <w:pPr>
        <w:spacing w:line="540" w:lineRule="exact"/>
        <w:ind w:firstLine="568" w:firstLineChars="200"/>
        <w:rPr>
          <w:rFonts w:ascii="宋体" w:eastAsia="宋体" w:cs="宋体"/>
          <w:snapToGrid/>
          <w:color w:val="333333"/>
          <w:sz w:val="24"/>
          <w:szCs w:val="24"/>
        </w:rPr>
      </w:pPr>
      <w:r>
        <w:rPr>
          <w:rFonts w:hint="eastAsia" w:ascii="仿宋_GB2312" w:eastAsia="仿宋_GB2312" w:cs="仿宋_GB2312"/>
          <w:w w:val="90"/>
          <w:sz w:val="32"/>
          <w:szCs w:val="32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年，兵团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住房和城乡建设</w:t>
      </w:r>
      <w:r>
        <w:rPr>
          <w:rFonts w:hint="eastAsia" w:ascii="仿宋_GB2312" w:eastAsia="仿宋_GB2312" w:cs="仿宋_GB2312"/>
          <w:sz w:val="32"/>
          <w:szCs w:val="32"/>
        </w:rPr>
        <w:t>局坚持以习近平新时代中国特色社会主义思想为指导，深入学习贯彻党的十九大和十九届二中、三中、四中、五中、六中全会精神，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牢牢扭住新疆工作总目标，聚焦履行兵团职责使命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认真贯彻落实《中华人民共和国政府信息公开条例》，围绕兵团党委、兵团和住房城乡建设部决策部署和公众关切，深化政策解读回应，依法做好依申请公开，持续规范公开平台建设，推动政府信息公开质量和实效不断提升，助力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兵团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住房和城乡建设事业高质量发展。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left="0" w:leftChars="0" w:firstLine="0" w:firstLineChars="0"/>
        <w:rPr>
          <w:rFonts w:ascii="宋体" w:eastAsia="宋体" w:cs="宋体"/>
          <w:snapToGrid/>
          <w:color w:val="333333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eastAsia="黑体" w:cs="宋体"/>
          <w:b/>
          <w:bCs/>
          <w:snapToGrid/>
          <w:color w:val="333333"/>
          <w:szCs w:val="32"/>
        </w:rPr>
      </w:pPr>
      <w:r>
        <w:rPr>
          <w:rFonts w:hint="eastAsia" w:ascii="黑体" w:eastAsia="黑体" w:cs="宋体"/>
          <w:b/>
          <w:bCs/>
          <w:snapToGrid/>
          <w:color w:val="333333"/>
          <w:szCs w:val="32"/>
        </w:rPr>
        <w:t>二、主动公开政府信息情况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宋体" w:eastAsia="宋体" w:cs="宋体"/>
          <w:snapToGrid/>
          <w:color w:val="333333"/>
          <w:sz w:val="24"/>
          <w:szCs w:val="24"/>
        </w:rPr>
      </w:pPr>
    </w:p>
    <w:tbl>
      <w:tblPr>
        <w:tblStyle w:val="12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本年</w:t>
            </w:r>
            <w:r>
              <w:rPr>
                <w:rFonts w:ascii="宋体" w:eastAsia="宋体" w:cs="Calibri"/>
                <w:snapToGrid/>
                <w:sz w:val="20"/>
              </w:rPr>
              <w:t>制</w:t>
            </w:r>
            <w:r>
              <w:rPr>
                <w:rFonts w:hint="eastAsia" w:ascii="宋体" w:eastAsia="宋体" w:cs="宋体"/>
                <w:snapToGrid/>
                <w:sz w:val="20"/>
              </w:rPr>
              <w:t>发件</w:t>
            </w:r>
            <w:r>
              <w:rPr>
                <w:rFonts w:ascii="宋体" w:eastAsia="宋体" w:cs="Calibri"/>
                <w:snapToGrid/>
                <w:sz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现行有效件</w:t>
            </w:r>
            <w:r>
              <w:rPr>
                <w:rFonts w:ascii="宋体" w:eastAsia="宋体" w:cs="Calibri"/>
                <w:snapToGrid/>
                <w:sz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cs="宋体"/>
          <w:snapToGrid/>
          <w:sz w:val="24"/>
          <w:szCs w:val="24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cs="宋体"/>
          <w:snapToGrid/>
          <w:sz w:val="24"/>
          <w:szCs w:val="24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cs="宋体"/>
          <w:snapToGrid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eastAsia="黑体" w:cs="宋体"/>
          <w:b/>
          <w:bCs/>
          <w:snapToGrid/>
          <w:color w:val="333333"/>
          <w:szCs w:val="32"/>
        </w:rPr>
      </w:pPr>
      <w:r>
        <w:rPr>
          <w:rFonts w:hint="eastAsia" w:ascii="黑体" w:eastAsia="黑体" w:cs="宋体"/>
          <w:b/>
          <w:bCs/>
          <w:snapToGrid/>
          <w:color w:val="333333"/>
          <w:szCs w:val="32"/>
        </w:rPr>
        <w:t>三、收到和处理政府信息公开申请情况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宋体" w:eastAsia="宋体" w:cs="宋体"/>
          <w:snapToGrid/>
          <w:color w:val="333333"/>
          <w:sz w:val="24"/>
          <w:szCs w:val="24"/>
        </w:rPr>
      </w:pPr>
    </w:p>
    <w:tbl>
      <w:tblPr>
        <w:tblStyle w:val="12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770"/>
        <w:gridCol w:w="606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楷体" w:eastAsia="楷体" w:cs="宋体"/>
                <w:snapToGrid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自然人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商业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科研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（一）予以公开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（二）部分公开</w:t>
            </w:r>
            <w:r>
              <w:rPr>
                <w:rFonts w:hint="eastAsia" w:ascii="楷体" w:eastAsia="楷体" w:cs="宋体"/>
                <w:snapToGrid/>
                <w:sz w:val="20"/>
              </w:rPr>
              <w:t>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3.其他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autoSpaceDE/>
        <w:autoSpaceDN/>
        <w:snapToGrid/>
        <w:spacing w:line="240" w:lineRule="auto"/>
        <w:ind w:firstLine="0"/>
        <w:jc w:val="center"/>
        <w:rPr>
          <w:rFonts w:ascii="宋体" w:eastAsia="宋体" w:cs="宋体"/>
          <w:snapToGrid/>
          <w:color w:val="333333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eastAsia="黑体" w:cs="宋体"/>
          <w:b/>
          <w:bCs/>
          <w:snapToGrid/>
          <w:color w:val="333333"/>
          <w:szCs w:val="32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eastAsia="黑体" w:cs="宋体"/>
          <w:snapToGrid/>
          <w:color w:val="333333"/>
          <w:szCs w:val="32"/>
        </w:rPr>
      </w:pPr>
      <w:r>
        <w:rPr>
          <w:rFonts w:hint="eastAsia" w:ascii="黑体" w:eastAsia="黑体" w:cs="宋体"/>
          <w:b/>
          <w:bCs/>
          <w:snapToGrid/>
          <w:color w:val="333333"/>
          <w:szCs w:val="32"/>
        </w:rPr>
        <w:t>四、政府信息公开行政复议、行政诉讼情况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0"/>
        <w:jc w:val="center"/>
        <w:rPr>
          <w:rFonts w:ascii="宋体" w:eastAsia="宋体" w:cs="宋体"/>
          <w:snapToGrid/>
          <w:color w:val="333333"/>
          <w:sz w:val="24"/>
          <w:szCs w:val="24"/>
        </w:rPr>
      </w:pPr>
    </w:p>
    <w:tbl>
      <w:tblPr>
        <w:tblStyle w:val="12"/>
        <w:tblW w:w="97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其他</w:t>
            </w:r>
            <w:r>
              <w:rPr>
                <w:rFonts w:hint="eastAsia" w:asci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其他</w:t>
            </w:r>
            <w:r>
              <w:rPr>
                <w:rFonts w:hint="eastAsia" w:asci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其他</w:t>
            </w: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color w:val="000000"/>
                <w:sz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cs="宋体"/>
          <w:snapToGrid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eastAsia="黑体" w:cs="宋体"/>
          <w:snapToGrid/>
          <w:color w:val="333333"/>
          <w:szCs w:val="32"/>
        </w:rPr>
      </w:pPr>
      <w:r>
        <w:rPr>
          <w:rFonts w:hint="eastAsia" w:ascii="黑体" w:eastAsia="黑体" w:cs="宋体"/>
          <w:b/>
          <w:bCs/>
          <w:snapToGrid/>
          <w:color w:val="333333"/>
          <w:szCs w:val="32"/>
        </w:rPr>
        <w:t>五、存在的主要问题及改进情况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left="0" w:leftChars="0" w:firstLine="632" w:firstLineChars="200"/>
        <w:rPr>
          <w:rStyle w:val="3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3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兵团住房城乡建设局政务公开工作还存在一些问题和不足：</w:t>
      </w:r>
      <w:r>
        <w:rPr>
          <w:rStyle w:val="35"/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Style w:val="35"/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Style w:val="35"/>
          <w:rFonts w:hint="eastAsia" w:ascii="仿宋_GB2312" w:hAnsi="仿宋_GB2312" w:eastAsia="仿宋_GB2312" w:cs="仿宋_GB2312"/>
          <w:sz w:val="32"/>
          <w:szCs w:val="32"/>
        </w:rPr>
        <w:t>机构和人员还需进一步健全补充，行使“政”的能力和水平还有待进一步提升，政务服务信息化水平还需进一步提高。</w:t>
      </w:r>
      <w:r>
        <w:rPr>
          <w:rStyle w:val="35"/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Style w:val="35"/>
          <w:rFonts w:hint="eastAsia" w:ascii="仿宋_GB2312" w:hAnsi="仿宋_GB2312" w:eastAsia="仿宋_GB2312" w:cs="仿宋_GB2312"/>
          <w:sz w:val="32"/>
          <w:szCs w:val="32"/>
        </w:rPr>
        <w:t>与公众交流互动形式仍需创新，门户网站个别版块信息的更新不够及时等。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615"/>
        <w:rPr>
          <w:rStyle w:val="35"/>
          <w:rFonts w:hint="default" w:ascii="仿宋_GB2312" w:hAnsi="仿宋_GB2312" w:eastAsia="仿宋_GB2312" w:cs="仿宋_GB2312"/>
          <w:snapToGrid w:val="0"/>
          <w:sz w:val="32"/>
          <w:szCs w:val="32"/>
        </w:rPr>
      </w:pP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</w:rPr>
        <w:t>下一步，我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  <w:lang w:val="en-US"/>
        </w:rPr>
        <w:t>局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</w:rPr>
        <w:t>将按照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  <w:lang w:val="en-US"/>
        </w:rPr>
        <w:t>兵团党委、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</w:rPr>
        <w:t>住房和城乡建设部工作要求，继续深入贯彻落实《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中华人民共和国政府信息公开条例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</w:rPr>
        <w:t>》，进一步加强政务信息公开工作。</w:t>
      </w:r>
      <w:r>
        <w:rPr>
          <w:rStyle w:val="35"/>
          <w:rFonts w:hint="eastAsia" w:ascii="仿宋_GB2312" w:hAnsi="仿宋_GB2312" w:eastAsia="仿宋_GB2312" w:cs="仿宋_GB2312"/>
          <w:b/>
          <w:bCs/>
          <w:snapToGrid w:val="0"/>
          <w:sz w:val="32"/>
          <w:szCs w:val="32"/>
        </w:rPr>
        <w:t>一是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</w:rPr>
        <w:t>加强政务公开队伍建设。开展针对性业务培训，着力提高工作人员工作能力和服务水平，依据《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中华人民共和国政府信息公开条例</w:t>
      </w:r>
      <w:bookmarkStart w:id="0" w:name="_GoBack"/>
      <w:bookmarkEnd w:id="0"/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</w:rPr>
        <w:t>》规定时序高质量答复，推动申请人知情权得到充分保障。</w:t>
      </w:r>
      <w:r>
        <w:rPr>
          <w:rStyle w:val="35"/>
          <w:rFonts w:hint="eastAsia" w:ascii="仿宋_GB2312" w:hAnsi="仿宋_GB2312" w:eastAsia="仿宋_GB2312" w:cs="仿宋_GB2312"/>
          <w:b/>
          <w:bCs/>
          <w:snapToGrid w:val="0"/>
          <w:sz w:val="32"/>
          <w:szCs w:val="32"/>
          <w:lang w:val="en-US"/>
        </w:rPr>
        <w:t>二</w:t>
      </w:r>
      <w:r>
        <w:rPr>
          <w:rStyle w:val="35"/>
          <w:rFonts w:hint="eastAsia" w:ascii="仿宋_GB2312" w:hAnsi="仿宋_GB2312" w:eastAsia="仿宋_GB2312" w:cs="仿宋_GB2312"/>
          <w:b/>
          <w:bCs/>
          <w:snapToGrid w:val="0"/>
          <w:sz w:val="32"/>
          <w:szCs w:val="32"/>
        </w:rPr>
        <w:t>是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健全舆论采集回应机制。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</w:rPr>
        <w:t>持续加强政民互动交流，稳妥处理好网上咨询及依申请公开回复，对涉及群众切身利益、社会关注度高的方针政策和法规条例，积极运用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  <w:lang w:val="en-US"/>
        </w:rPr>
        <w:t>官网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</w:rPr>
        <w:t>、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  <w:lang w:val="en-US"/>
        </w:rPr>
        <w:t>兵团政务便民服务热线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</w:rPr>
        <w:t>等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  <w:lang w:val="en-US"/>
        </w:rPr>
        <w:t>平台</w:t>
      </w:r>
      <w:r>
        <w:rPr>
          <w:rStyle w:val="35"/>
          <w:rFonts w:hint="eastAsia" w:ascii="仿宋_GB2312" w:hAnsi="仿宋_GB2312" w:eastAsia="仿宋_GB2312" w:cs="仿宋_GB2312"/>
          <w:snapToGrid w:val="0"/>
          <w:sz w:val="32"/>
          <w:szCs w:val="32"/>
        </w:rPr>
        <w:t>做好宣传解读。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eastAsia="黑体" w:cs="宋体"/>
          <w:b/>
          <w:bCs/>
          <w:snapToGrid/>
          <w:color w:val="333333"/>
          <w:szCs w:val="32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eastAsia="黑体" w:cs="宋体"/>
          <w:b/>
          <w:bCs/>
          <w:snapToGrid/>
          <w:color w:val="333333"/>
          <w:szCs w:val="32"/>
        </w:rPr>
      </w:pPr>
      <w:r>
        <w:rPr>
          <w:rFonts w:hint="eastAsia" w:ascii="黑体" w:eastAsia="黑体" w:cs="宋体"/>
          <w:b/>
          <w:bCs/>
          <w:snapToGrid/>
          <w:color w:val="333333"/>
          <w:szCs w:val="32"/>
        </w:rPr>
        <w:t>六、其他需要报告的事项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宋体" w:eastAsia="仿宋_GB2312" w:cs="宋体"/>
          <w:snapToGrid/>
          <w:color w:val="333333"/>
          <w:sz w:val="24"/>
          <w:szCs w:val="24"/>
          <w:lang w:val="en-US" w:eastAsia="zh-CN"/>
        </w:rPr>
      </w:pPr>
      <w:r>
        <w:rPr>
          <w:rFonts w:hint="eastAsia" w:ascii="仿宋_GB2312" w:eastAsia="仿宋_GB2312" w:cs="宋体"/>
          <w:snapToGrid/>
          <w:color w:val="333333"/>
          <w:szCs w:val="32"/>
          <w:lang w:val="en-US" w:eastAsia="zh-CN"/>
        </w:rPr>
        <w:t>无。</w:t>
      </w:r>
    </w:p>
    <w:p>
      <w:pPr>
        <w:pStyle w:val="24"/>
      </w:pPr>
    </w:p>
    <w:p>
      <w:pPr>
        <w:spacing w:line="590" w:lineRule="exact"/>
      </w:pPr>
    </w:p>
    <w:p>
      <w:pPr>
        <w:spacing w:line="590" w:lineRule="exact"/>
      </w:pPr>
    </w:p>
    <w:sectPr>
      <w:headerReference r:id="rId3" w:type="default"/>
      <w:footerReference r:id="rId4" w:type="default"/>
      <w:pgSz w:w="11906" w:h="16838"/>
      <w:pgMar w:top="1814" w:right="1531" w:bottom="1985" w:left="1531" w:header="720" w:footer="1474" w:gutter="0"/>
      <w:paperSrc w:first="2" w:other="2"/>
      <w:pgNumType w:start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xi Sans">
    <w:altName w:val="E-B1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1">
    <w:panose1 w:val="02060000000000000000"/>
    <w:charset w:val="81"/>
    <w:family w:val="auto"/>
    <w:pitch w:val="default"/>
    <w:sig w:usb0="800002BF" w:usb1="10DF7CF8" w:usb2="00000033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 xml:space="preserve">— </w:t>
    </w:r>
    <w:r>
      <w:rPr>
        <w:rStyle w:val="15"/>
      </w:rP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9</w:t>
    </w:r>
    <w:r>
      <w:fldChar w:fldCharType="end"/>
    </w:r>
    <w:r>
      <w:rPr>
        <w:rStyle w:val="15"/>
        <w:rFonts w:hint="eastAsia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0"/>
  <w:drawingGridHorizontalSpacing w:val="315"/>
  <w:drawingGridVerticalSpacing w:val="295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useFELayout/>
    <w:compatSetting w:name="compatibilityMode" w:uri="http://schemas.microsoft.com/office/word" w:val="12"/>
  </w:compat>
  <w:rsids>
    <w:rsidRoot w:val="00000000"/>
    <w:rsid w:val="01197A95"/>
    <w:rsid w:val="01E05A47"/>
    <w:rsid w:val="02A95DA2"/>
    <w:rsid w:val="054F6E85"/>
    <w:rsid w:val="071B6F5E"/>
    <w:rsid w:val="078D6EE4"/>
    <w:rsid w:val="091747F6"/>
    <w:rsid w:val="0CE13E4B"/>
    <w:rsid w:val="0E214F62"/>
    <w:rsid w:val="0FB73CBD"/>
    <w:rsid w:val="10952476"/>
    <w:rsid w:val="15DE717D"/>
    <w:rsid w:val="15F60EE2"/>
    <w:rsid w:val="18DB3E3D"/>
    <w:rsid w:val="1B5D2A5E"/>
    <w:rsid w:val="1BDC4ABF"/>
    <w:rsid w:val="1E221D76"/>
    <w:rsid w:val="1E4F12F3"/>
    <w:rsid w:val="205C29E3"/>
    <w:rsid w:val="22D01771"/>
    <w:rsid w:val="25B2273F"/>
    <w:rsid w:val="270833E9"/>
    <w:rsid w:val="27B849E0"/>
    <w:rsid w:val="2A9A62BC"/>
    <w:rsid w:val="2BA916D8"/>
    <w:rsid w:val="2C490189"/>
    <w:rsid w:val="310A579C"/>
    <w:rsid w:val="34B43F27"/>
    <w:rsid w:val="35557939"/>
    <w:rsid w:val="35F76DC6"/>
    <w:rsid w:val="3A684B5C"/>
    <w:rsid w:val="3A817EED"/>
    <w:rsid w:val="40743ACD"/>
    <w:rsid w:val="46456680"/>
    <w:rsid w:val="4C323B2B"/>
    <w:rsid w:val="4D4B3B8F"/>
    <w:rsid w:val="4EF9565D"/>
    <w:rsid w:val="50A6216B"/>
    <w:rsid w:val="55B1430E"/>
    <w:rsid w:val="56CD5768"/>
    <w:rsid w:val="56D57F2C"/>
    <w:rsid w:val="5BA02E1E"/>
    <w:rsid w:val="5D731EA7"/>
    <w:rsid w:val="5D831AEC"/>
    <w:rsid w:val="5DE04B2E"/>
    <w:rsid w:val="5F227B61"/>
    <w:rsid w:val="5FF371B8"/>
    <w:rsid w:val="61AA10C7"/>
    <w:rsid w:val="64772449"/>
    <w:rsid w:val="64DA0E24"/>
    <w:rsid w:val="67C943EB"/>
    <w:rsid w:val="6A49023D"/>
    <w:rsid w:val="6AE26024"/>
    <w:rsid w:val="6C302D49"/>
    <w:rsid w:val="6D97139E"/>
    <w:rsid w:val="738D72A5"/>
    <w:rsid w:val="76E5433E"/>
    <w:rsid w:val="7DEF6772"/>
    <w:rsid w:val="7F1B7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szCs w:val="2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tLeast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4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sz w:val="30"/>
    </w:rPr>
  </w:style>
  <w:style w:type="paragraph" w:styleId="7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cs="宋体"/>
      <w:snapToGrid/>
      <w:sz w:val="24"/>
      <w:szCs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articlebody"/>
    <w:basedOn w:val="13"/>
    <w:qFormat/>
    <w:uiPriority w:val="0"/>
  </w:style>
  <w:style w:type="paragraph" w:customStyle="1" w:styleId="17">
    <w:name w:val="抄送栏"/>
    <w:basedOn w:val="1"/>
    <w:qFormat/>
    <w:uiPriority w:val="0"/>
    <w:pPr>
      <w:adjustRightInd w:val="0"/>
      <w:snapToGrid/>
      <w:spacing w:line="454" w:lineRule="atLeast"/>
      <w:ind w:left="1309" w:right="357" w:hanging="953"/>
    </w:pPr>
  </w:style>
  <w:style w:type="paragraph" w:customStyle="1" w:styleId="18">
    <w:name w:val="_Style 24"/>
    <w:basedOn w:val="1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1"/>
      <w:szCs w:val="32"/>
    </w:rPr>
  </w:style>
  <w:style w:type="paragraph" w:customStyle="1" w:styleId="19">
    <w:name w:val="印发栏"/>
    <w:basedOn w:val="7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20">
    <w:name w:val="印数"/>
    <w:basedOn w:val="19"/>
    <w:qFormat/>
    <w:uiPriority w:val="0"/>
    <w:pPr>
      <w:spacing w:line="400" w:lineRule="atLeast"/>
      <w:jc w:val="right"/>
    </w:pPr>
  </w:style>
  <w:style w:type="paragraph" w:customStyle="1" w:styleId="21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22">
    <w:name w:val="线型"/>
    <w:basedOn w:val="17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3">
    <w:name w:val="默认段落字体 Para Char Char Char Char"/>
    <w:basedOn w:val="1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4"/>
      <w:szCs w:val="24"/>
    </w:rPr>
  </w:style>
  <w:style w:type="paragraph" w:customStyle="1" w:styleId="2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5">
    <w:name w:val="文头"/>
    <w:basedOn w:val="1"/>
    <w:qFormat/>
    <w:uiPriority w:val="0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26">
    <w:name w:val="Char"/>
    <w:basedOn w:val="1"/>
    <w:qFormat/>
    <w:uiPriority w:val="0"/>
    <w:pPr>
      <w:autoSpaceDE/>
      <w:autoSpaceDN/>
      <w:snapToGrid/>
      <w:spacing w:line="360" w:lineRule="auto"/>
      <w:ind w:firstLine="0"/>
    </w:pPr>
    <w:rPr>
      <w:rFonts w:ascii="宋体" w:eastAsia="宋体"/>
      <w:snapToGrid/>
      <w:kern w:val="2"/>
      <w:sz w:val="24"/>
      <w:szCs w:val="24"/>
    </w:rPr>
  </w:style>
  <w:style w:type="paragraph" w:customStyle="1" w:styleId="27">
    <w:name w:val="密级"/>
    <w:basedOn w:val="1"/>
    <w:qFormat/>
    <w:uiPriority w:val="0"/>
    <w:pPr>
      <w:adjustRightInd w:val="0"/>
      <w:snapToGri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28">
    <w:name w:val="紧急程度"/>
    <w:basedOn w:val="27"/>
    <w:qFormat/>
    <w:uiPriority w:val="0"/>
    <w:pPr>
      <w:overflowPunct w:val="0"/>
      <w:autoSpaceDE w:val="0"/>
      <w:autoSpaceDN w:val="0"/>
    </w:pPr>
    <w:rPr>
      <w:sz w:val="32"/>
    </w:rPr>
  </w:style>
  <w:style w:type="paragraph" w:customStyle="1" w:styleId="29">
    <w:name w:val="红线"/>
    <w:basedOn w:val="4"/>
    <w:qFormat/>
    <w:uiPriority w:val="0"/>
    <w:pPr>
      <w:keepNext w:val="0"/>
      <w:keepLines w:val="0"/>
      <w:widowControl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30">
    <w:name w:val="样式1"/>
    <w:basedOn w:val="1"/>
    <w:qFormat/>
    <w:uiPriority w:val="0"/>
  </w:style>
  <w:style w:type="paragraph" w:customStyle="1" w:styleId="31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32">
    <w:name w:val="附件栏"/>
    <w:basedOn w:val="1"/>
    <w:qFormat/>
    <w:uiPriority w:val="0"/>
  </w:style>
  <w:style w:type="paragraph" w:customStyle="1" w:styleId="33">
    <w:name w:val="标题3"/>
    <w:basedOn w:val="1"/>
    <w:next w:val="1"/>
    <w:qFormat/>
    <w:uiPriority w:val="0"/>
    <w:rPr>
      <w:rFonts w:eastAsia="方正黑体_GBK"/>
    </w:rPr>
  </w:style>
  <w:style w:type="paragraph" w:customStyle="1" w:styleId="34">
    <w:name w:val="Char Char Char Char Char Char Char Char Char Char Char Char Char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</w:rPr>
  </w:style>
  <w:style w:type="character" w:customStyle="1" w:styleId="35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UQi.me</Company>
  <Pages>9</Pages>
  <Words>3956</Words>
  <Characters>3987</Characters>
  <Lines>473</Lines>
  <Paragraphs>127</Paragraphs>
  <TotalTime>1</TotalTime>
  <ScaleCrop>false</ScaleCrop>
  <LinksUpToDate>false</LinksUpToDate>
  <CharactersWithSpaces>4199</CharactersWithSpaces>
  <Application>WPS Office_11.1.0.8980_F1E327BC-269C-435d-A152-05C5408002CA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2021-09-29T06:22:00Z</dcterms:created>
  <dc:creator>user</dc:creator>
  <cp:lastModifiedBy>法规处专用机</cp:lastModifiedBy>
  <cp:lastPrinted>2022-01-29T11:00:00Z</cp:lastPrinted>
  <dcterms:modified xsi:type="dcterms:W3CDTF">2022-01-29T11:11:46Z</dcterms:modified>
  <dc:title>苏政办发模板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